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7D18D2">
        <w:rPr>
          <w:rFonts w:ascii="Arial" w:hAnsi="Arial" w:cs="Arial"/>
          <w:sz w:val="24"/>
          <w:szCs w:val="28"/>
          <w:lang w:val="en-US"/>
        </w:rPr>
        <w:t>9</w:t>
      </w:r>
      <w:r w:rsidR="00BB5A8C">
        <w:rPr>
          <w:rFonts w:ascii="Arial" w:hAnsi="Arial" w:cs="Arial"/>
          <w:sz w:val="24"/>
          <w:szCs w:val="28"/>
          <w:lang w:val="en-US"/>
        </w:rPr>
        <w:t>AH</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7F034D">
        <w:rPr>
          <w:rFonts w:ascii="Arial" w:hAnsi="Arial" w:cs="Arial"/>
          <w:sz w:val="24"/>
          <w:szCs w:val="28"/>
          <w:lang w:val="en-US"/>
        </w:rPr>
        <w:t>79AH-0184</w:t>
      </w:r>
    </w:p>
    <w:p w:rsidR="00D80957" w:rsidRPr="00BB5A8C" w:rsidRDefault="00BB5A8C" w:rsidP="005A4F39">
      <w:pPr>
        <w:pStyle w:val="Header"/>
        <w:tabs>
          <w:tab w:val="right" w:pos="9072"/>
        </w:tabs>
        <w:rPr>
          <w:rFonts w:ascii="Arial" w:hAnsi="Arial" w:cs="Arial"/>
          <w:sz w:val="24"/>
          <w:szCs w:val="28"/>
          <w:lang w:val="sv-SE"/>
        </w:rPr>
      </w:pPr>
      <w:r w:rsidRPr="00BB5A8C">
        <w:rPr>
          <w:rFonts w:ascii="Arial" w:hAnsi="Arial" w:cs="Arial"/>
          <w:sz w:val="24"/>
          <w:szCs w:val="28"/>
          <w:lang w:val="sv-SE"/>
        </w:rPr>
        <w:t>Hong Kong</w:t>
      </w:r>
      <w:r w:rsidR="008A3944" w:rsidRPr="00BB5A8C">
        <w:rPr>
          <w:rFonts w:ascii="Arial" w:hAnsi="Arial" w:cs="Arial"/>
          <w:sz w:val="24"/>
          <w:szCs w:val="28"/>
          <w:lang w:val="sv-SE"/>
        </w:rPr>
        <w:t xml:space="preserve">, </w:t>
      </w:r>
      <w:r w:rsidR="007D18D2" w:rsidRPr="00BB5A8C">
        <w:rPr>
          <w:rFonts w:ascii="Arial" w:hAnsi="Arial" w:cs="Arial"/>
          <w:sz w:val="24"/>
          <w:szCs w:val="28"/>
          <w:lang w:val="sv-SE"/>
        </w:rPr>
        <w:t xml:space="preserve">P.R. China, </w:t>
      </w:r>
      <w:r w:rsidRPr="00BB5A8C">
        <w:rPr>
          <w:rFonts w:ascii="Arial" w:hAnsi="Arial" w:cs="Arial"/>
          <w:sz w:val="24"/>
          <w:szCs w:val="28"/>
          <w:lang w:val="sv-SE"/>
        </w:rPr>
        <w:t>June</w:t>
      </w:r>
      <w:r w:rsidR="008A3944" w:rsidRPr="00BB5A8C">
        <w:rPr>
          <w:rFonts w:ascii="Arial" w:hAnsi="Arial" w:cs="Arial"/>
          <w:sz w:val="24"/>
          <w:szCs w:val="28"/>
          <w:lang w:val="sv-SE"/>
        </w:rPr>
        <w:t xml:space="preserve"> </w:t>
      </w:r>
      <w:r w:rsidRPr="00BB5A8C">
        <w:rPr>
          <w:rFonts w:ascii="Arial" w:hAnsi="Arial" w:cs="Arial"/>
          <w:sz w:val="24"/>
          <w:szCs w:val="28"/>
          <w:lang w:val="sv-SE"/>
        </w:rPr>
        <w:t>28 – 30</w:t>
      </w:r>
      <w:r w:rsidR="00F56366" w:rsidRPr="00BB5A8C">
        <w:rPr>
          <w:rFonts w:ascii="Arial" w:hAnsi="Arial" w:cs="Arial"/>
          <w:sz w:val="24"/>
          <w:szCs w:val="28"/>
          <w:lang w:val="sv-SE"/>
        </w:rPr>
        <w:t>, 2016</w:t>
      </w:r>
    </w:p>
    <w:p w:rsidR="00D80957" w:rsidRPr="00BB5A8C" w:rsidRDefault="00D80957" w:rsidP="0033186E">
      <w:pPr>
        <w:tabs>
          <w:tab w:val="left" w:pos="1985"/>
        </w:tabs>
        <w:spacing w:before="240" w:after="0"/>
        <w:jc w:val="both"/>
        <w:rPr>
          <w:rFonts w:ascii="Arial" w:hAnsi="Arial" w:cs="Arial"/>
          <w:bCs/>
          <w:sz w:val="22"/>
          <w:szCs w:val="22"/>
          <w:lang w:val="sv-SE"/>
        </w:rPr>
      </w:pPr>
      <w:r w:rsidRPr="00BB5A8C">
        <w:rPr>
          <w:rFonts w:ascii="Arial" w:hAnsi="Arial" w:cs="Arial"/>
          <w:b/>
          <w:sz w:val="22"/>
          <w:szCs w:val="22"/>
          <w:lang w:val="sv-SE"/>
        </w:rPr>
        <w:t>Agenda Item:</w:t>
      </w:r>
      <w:r w:rsidRPr="00BB5A8C">
        <w:rPr>
          <w:rFonts w:ascii="Arial" w:hAnsi="Arial" w:cs="Arial"/>
          <w:b/>
          <w:sz w:val="22"/>
          <w:szCs w:val="22"/>
          <w:lang w:val="sv-SE"/>
        </w:rPr>
        <w:tab/>
      </w:r>
      <w:r w:rsidR="00B76E95">
        <w:rPr>
          <w:rFonts w:ascii="Arial" w:hAnsi="Arial" w:cs="Arial"/>
          <w:bCs/>
          <w:sz w:val="22"/>
          <w:szCs w:val="22"/>
          <w:lang w:val="sv-SE"/>
        </w:rPr>
        <w:t>2.3</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7F034D" w:rsidRPr="007F034D">
        <w:rPr>
          <w:rFonts w:ascii="Arial" w:hAnsi="Arial" w:cs="Arial"/>
          <w:sz w:val="22"/>
          <w:szCs w:val="22"/>
          <w:lang w:val="en-US"/>
        </w:rPr>
        <w:t>Deployment mode(s) for RRM testing</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8D237F" w:rsidRDefault="007F034D" w:rsidP="00F56366">
      <w:pPr>
        <w:jc w:val="both"/>
        <w:rPr>
          <w:sz w:val="22"/>
          <w:szCs w:val="22"/>
          <w:lang w:val="en-US"/>
        </w:rPr>
      </w:pPr>
      <w:r>
        <w:rPr>
          <w:sz w:val="22"/>
          <w:szCs w:val="22"/>
          <w:lang w:val="en-US"/>
        </w:rPr>
        <w:t>Narrowband IoT specifies three different deployment modes:</w:t>
      </w:r>
    </w:p>
    <w:p w:rsidR="007F034D" w:rsidRDefault="007F034D" w:rsidP="007F034D">
      <w:pPr>
        <w:pStyle w:val="ListParagraph"/>
        <w:numPr>
          <w:ilvl w:val="0"/>
          <w:numId w:val="12"/>
        </w:numPr>
        <w:jc w:val="both"/>
        <w:rPr>
          <w:sz w:val="22"/>
          <w:szCs w:val="22"/>
          <w:lang w:val="en-US"/>
        </w:rPr>
      </w:pPr>
      <w:r>
        <w:rPr>
          <w:sz w:val="22"/>
          <w:szCs w:val="22"/>
          <w:lang w:val="en-US"/>
        </w:rPr>
        <w:t>stand-alone,</w:t>
      </w:r>
    </w:p>
    <w:p w:rsidR="007F034D" w:rsidRDefault="007F034D" w:rsidP="007F034D">
      <w:pPr>
        <w:pStyle w:val="ListParagraph"/>
        <w:numPr>
          <w:ilvl w:val="0"/>
          <w:numId w:val="12"/>
        </w:numPr>
        <w:jc w:val="both"/>
        <w:rPr>
          <w:sz w:val="22"/>
          <w:szCs w:val="22"/>
          <w:lang w:val="en-US"/>
        </w:rPr>
      </w:pPr>
      <w:r>
        <w:rPr>
          <w:sz w:val="22"/>
          <w:szCs w:val="22"/>
          <w:lang w:val="en-US"/>
        </w:rPr>
        <w:t>in-band</w:t>
      </w:r>
      <w:r w:rsidR="008450B0">
        <w:rPr>
          <w:sz w:val="22"/>
          <w:szCs w:val="22"/>
          <w:lang w:val="en-US"/>
        </w:rPr>
        <w:t xml:space="preserve"> in LTE cell</w:t>
      </w:r>
      <w:r>
        <w:rPr>
          <w:sz w:val="22"/>
          <w:szCs w:val="22"/>
          <w:lang w:val="en-US"/>
        </w:rPr>
        <w:t>, and</w:t>
      </w:r>
    </w:p>
    <w:p w:rsidR="007F034D" w:rsidRDefault="007F034D" w:rsidP="007F034D">
      <w:pPr>
        <w:pStyle w:val="ListParagraph"/>
        <w:numPr>
          <w:ilvl w:val="0"/>
          <w:numId w:val="12"/>
        </w:numPr>
        <w:jc w:val="both"/>
        <w:rPr>
          <w:sz w:val="22"/>
          <w:szCs w:val="22"/>
          <w:lang w:val="en-US"/>
        </w:rPr>
      </w:pPr>
      <w:r>
        <w:rPr>
          <w:sz w:val="22"/>
          <w:szCs w:val="22"/>
          <w:lang w:val="en-US"/>
        </w:rPr>
        <w:t>guard-band</w:t>
      </w:r>
      <w:r w:rsidR="008450B0">
        <w:rPr>
          <w:sz w:val="22"/>
          <w:szCs w:val="22"/>
          <w:lang w:val="en-US"/>
        </w:rPr>
        <w:t xml:space="preserve"> to LTE cell.</w:t>
      </w:r>
    </w:p>
    <w:p w:rsidR="001E63DD" w:rsidRDefault="008D237F" w:rsidP="00F56366">
      <w:pPr>
        <w:jc w:val="both"/>
        <w:rPr>
          <w:sz w:val="22"/>
          <w:szCs w:val="22"/>
          <w:lang w:val="en-US"/>
        </w:rPr>
      </w:pPr>
      <w:r>
        <w:rPr>
          <w:sz w:val="22"/>
          <w:szCs w:val="22"/>
          <w:lang w:val="en-US"/>
        </w:rPr>
        <w:t xml:space="preserve">In this contribution we </w:t>
      </w:r>
      <w:r w:rsidR="008450B0">
        <w:rPr>
          <w:sz w:val="22"/>
          <w:szCs w:val="22"/>
          <w:lang w:val="en-US"/>
        </w:rPr>
        <w:t xml:space="preserve">analyze the deployment modes from an RRM testing perspective and propose to narrow down the options to in-band </w:t>
      </w:r>
      <w:r w:rsidR="00F430F5">
        <w:rPr>
          <w:sz w:val="22"/>
          <w:szCs w:val="22"/>
          <w:lang w:val="en-US"/>
        </w:rPr>
        <w:t>deployment</w:t>
      </w:r>
      <w:r>
        <w:rPr>
          <w:sz w:val="22"/>
          <w:szCs w:val="22"/>
          <w:lang w:val="en-US"/>
        </w:rPr>
        <w:t>.</w:t>
      </w:r>
    </w:p>
    <w:p w:rsidR="00575E80" w:rsidRDefault="00F430F5" w:rsidP="00BD2156">
      <w:pPr>
        <w:pStyle w:val="Heading1"/>
        <w:ind w:left="431" w:hanging="431"/>
        <w:rPr>
          <w:szCs w:val="36"/>
          <w:lang w:val="en-US"/>
        </w:rPr>
      </w:pPr>
      <w:r>
        <w:rPr>
          <w:szCs w:val="36"/>
          <w:lang w:val="en-US"/>
        </w:rPr>
        <w:t>RRM measurements and impact of deployment scenario</w:t>
      </w:r>
    </w:p>
    <w:p w:rsidR="00F430F5" w:rsidRDefault="00F430F5" w:rsidP="008040DC">
      <w:pPr>
        <w:jc w:val="both"/>
        <w:rPr>
          <w:sz w:val="22"/>
          <w:lang w:val="en-US"/>
        </w:rPr>
      </w:pPr>
      <w:r>
        <w:rPr>
          <w:sz w:val="22"/>
          <w:lang w:val="en-US"/>
        </w:rPr>
        <w:t xml:space="preserve">Different kinds of RRM measurements are carried out under different conditions. For instance, </w:t>
      </w:r>
      <w:r w:rsidR="00E168EA">
        <w:rPr>
          <w:sz w:val="22"/>
          <w:lang w:val="en-US"/>
        </w:rPr>
        <w:t>N</w:t>
      </w:r>
      <w:r>
        <w:rPr>
          <w:sz w:val="22"/>
          <w:lang w:val="en-US"/>
        </w:rPr>
        <w:t xml:space="preserve">RSRP measurements are carried out when synchronization has been achieved to the cell targeted for the measurements. Moreover, </w:t>
      </w:r>
      <w:r w:rsidR="001753CE">
        <w:rPr>
          <w:sz w:val="22"/>
          <w:lang w:val="en-US"/>
        </w:rPr>
        <w:t>RLM is carried out while synchronized (or supposedly synchronized) to the serving cell. Both of those RRM activities are bases on NB-RS, whose positions are known and whose existence is guaranteed regardless of network deployment scenario. In contrast, cell identification based on detection of NPSS and NSSS is in g</w:t>
      </w:r>
      <w:r w:rsidR="008040DC">
        <w:rPr>
          <w:sz w:val="22"/>
          <w:lang w:val="en-US"/>
        </w:rPr>
        <w:t xml:space="preserve">eneral carried out before </w:t>
      </w:r>
      <w:r w:rsidR="001753CE">
        <w:rPr>
          <w:sz w:val="22"/>
          <w:lang w:val="en-US"/>
        </w:rPr>
        <w:t>synchronization has been achieved, and moreover, in the case of in-</w:t>
      </w:r>
      <w:r w:rsidR="008040DC">
        <w:rPr>
          <w:sz w:val="22"/>
          <w:lang w:val="en-US"/>
        </w:rPr>
        <w:t>band deployment scenario</w:t>
      </w:r>
      <w:r w:rsidR="001753CE">
        <w:rPr>
          <w:sz w:val="22"/>
          <w:lang w:val="en-US"/>
        </w:rPr>
        <w:t xml:space="preserve"> whereby the NB-IoT cell is deployed inside the DL system BW of an LTE cell, </w:t>
      </w:r>
      <w:r w:rsidR="00B22019">
        <w:rPr>
          <w:sz w:val="22"/>
          <w:lang w:val="en-US"/>
        </w:rPr>
        <w:t>the NPSS and NSSS are punctured by the CRS pattern of the LTE cell.</w:t>
      </w:r>
    </w:p>
    <w:p w:rsidR="00500720" w:rsidRDefault="00E168EA" w:rsidP="008040DC">
      <w:pPr>
        <w:jc w:val="both"/>
        <w:rPr>
          <w:sz w:val="22"/>
          <w:lang w:val="en-US"/>
        </w:rPr>
      </w:pPr>
      <w:r>
        <w:rPr>
          <w:sz w:val="22"/>
          <w:lang w:val="en-US"/>
        </w:rPr>
        <w:t>The primary synchronization channel NPSS carries 11 REs in 11 OFDM symbols, amounting to 121 REs</w:t>
      </w:r>
      <w:r w:rsidR="00500720">
        <w:rPr>
          <w:sz w:val="22"/>
          <w:lang w:val="en-US"/>
        </w:rPr>
        <w:t xml:space="preserve">. In case of in-band deployment in an LTE cell that uses 4 TX ports, up to 16 out of those 121 REs are punctured and filled with potentially equally strong interference caused by the CRS. </w:t>
      </w:r>
      <w:r w:rsidR="0040645D">
        <w:rPr>
          <w:sz w:val="22"/>
          <w:lang w:val="en-US"/>
        </w:rPr>
        <w:t>At an SNR of 0dB t</w:t>
      </w:r>
      <w:r w:rsidR="00500720">
        <w:rPr>
          <w:sz w:val="22"/>
          <w:lang w:val="en-US"/>
        </w:rPr>
        <w:t xml:space="preserve">his leads to a loss in sensitivity of up to </w:t>
      </w:r>
      <w:r w:rsidR="0040645D">
        <w:rPr>
          <w:sz w:val="22"/>
          <w:lang w:val="en-US"/>
        </w:rPr>
        <w:t>1.2</w:t>
      </w:r>
      <w:r w:rsidR="00500720">
        <w:rPr>
          <w:sz w:val="22"/>
          <w:lang w:val="en-US"/>
        </w:rPr>
        <w:t xml:space="preserve"> dB compared to the stand-alone and guard-band deployment scenarios.</w:t>
      </w:r>
    </w:p>
    <w:p w:rsidR="003955BA" w:rsidRDefault="00500720" w:rsidP="008040DC">
      <w:pPr>
        <w:jc w:val="both"/>
        <w:rPr>
          <w:sz w:val="22"/>
          <w:lang w:val="en-US"/>
        </w:rPr>
      </w:pPr>
      <w:r>
        <w:rPr>
          <w:b/>
          <w:sz w:val="22"/>
          <w:lang w:val="en-US"/>
        </w:rPr>
        <w:t>Observation 1:</w:t>
      </w:r>
      <w:r>
        <w:rPr>
          <w:sz w:val="22"/>
          <w:lang w:val="en-US"/>
        </w:rPr>
        <w:t xml:space="preserve"> For in-band deployment the </w:t>
      </w:r>
      <w:r w:rsidR="0040645D">
        <w:rPr>
          <w:sz w:val="22"/>
          <w:lang w:val="en-US"/>
        </w:rPr>
        <w:t xml:space="preserve">set of 121 REs carried by </w:t>
      </w:r>
      <w:r>
        <w:rPr>
          <w:sz w:val="22"/>
          <w:lang w:val="en-US"/>
        </w:rPr>
        <w:t xml:space="preserve">NPSS is punctured by up to 16 CRS, leading to a loss of sensitivity </w:t>
      </w:r>
      <w:r w:rsidR="003955BA">
        <w:rPr>
          <w:sz w:val="22"/>
          <w:lang w:val="en-US"/>
        </w:rPr>
        <w:t>compared to stand-alone and guard-band deployments</w:t>
      </w:r>
      <w:r w:rsidR="00591386">
        <w:rPr>
          <w:sz w:val="22"/>
          <w:lang w:val="en-US"/>
        </w:rPr>
        <w:t xml:space="preserve"> in NPSS detection</w:t>
      </w:r>
      <w:r>
        <w:rPr>
          <w:sz w:val="22"/>
          <w:lang w:val="en-US"/>
        </w:rPr>
        <w:t>.</w:t>
      </w:r>
      <w:r w:rsidR="003955BA">
        <w:rPr>
          <w:sz w:val="22"/>
          <w:lang w:val="en-US"/>
        </w:rPr>
        <w:t xml:space="preserve"> </w:t>
      </w:r>
    </w:p>
    <w:p w:rsidR="00500720" w:rsidRPr="00500720" w:rsidRDefault="00500720" w:rsidP="008040DC">
      <w:pPr>
        <w:jc w:val="both"/>
        <w:rPr>
          <w:sz w:val="22"/>
          <w:lang w:val="en-US"/>
        </w:rPr>
      </w:pPr>
      <w:r>
        <w:rPr>
          <w:sz w:val="22"/>
          <w:lang w:val="en-US"/>
        </w:rPr>
        <w:t xml:space="preserve">The secondary synchronization channel carries 12 REs in 11 OFDM symbols, amounting to </w:t>
      </w:r>
      <w:r w:rsidR="003955BA">
        <w:rPr>
          <w:sz w:val="22"/>
          <w:lang w:val="en-US"/>
        </w:rPr>
        <w:t>132</w:t>
      </w:r>
      <w:r>
        <w:rPr>
          <w:sz w:val="22"/>
          <w:lang w:val="en-US"/>
        </w:rPr>
        <w:t xml:space="preserve"> REs. Similar to the NPSS case </w:t>
      </w:r>
      <w:r w:rsidR="003955BA">
        <w:rPr>
          <w:sz w:val="22"/>
          <w:lang w:val="en-US"/>
        </w:rPr>
        <w:t xml:space="preserve">in case of in-band deployment </w:t>
      </w:r>
      <w:r>
        <w:rPr>
          <w:sz w:val="22"/>
          <w:lang w:val="en-US"/>
        </w:rPr>
        <w:t xml:space="preserve">it gets punctured by 16 CRS when </w:t>
      </w:r>
      <w:r w:rsidR="003955BA">
        <w:rPr>
          <w:sz w:val="22"/>
          <w:lang w:val="en-US"/>
        </w:rPr>
        <w:t xml:space="preserve">the LTE cell uses 4 TX ports. </w:t>
      </w:r>
      <w:r w:rsidR="0040645D">
        <w:rPr>
          <w:sz w:val="22"/>
          <w:lang w:val="en-US"/>
        </w:rPr>
        <w:t>At an SNR of 0dB the loss of sensitivity due to puncturing becomes about 1dB.</w:t>
      </w:r>
    </w:p>
    <w:p w:rsidR="0040645D" w:rsidRDefault="0040645D" w:rsidP="0040645D">
      <w:pPr>
        <w:jc w:val="both"/>
        <w:rPr>
          <w:sz w:val="22"/>
          <w:lang w:val="en-US"/>
        </w:rPr>
      </w:pPr>
      <w:r>
        <w:rPr>
          <w:b/>
          <w:sz w:val="22"/>
          <w:lang w:val="en-US"/>
        </w:rPr>
        <w:t>Observation 2</w:t>
      </w:r>
      <w:r>
        <w:rPr>
          <w:b/>
          <w:sz w:val="22"/>
          <w:lang w:val="en-US"/>
        </w:rPr>
        <w:t>:</w:t>
      </w:r>
      <w:r>
        <w:rPr>
          <w:sz w:val="22"/>
          <w:lang w:val="en-US"/>
        </w:rPr>
        <w:t xml:space="preserve"> For in-band deployment the set of 132 REs carried by NS</w:t>
      </w:r>
      <w:r>
        <w:rPr>
          <w:sz w:val="22"/>
          <w:lang w:val="en-US"/>
        </w:rPr>
        <w:t>SS is punctured by up to 16 CRS, leading to a loss of sensitivity compared to stand-alone and guard-band deployments</w:t>
      </w:r>
      <w:r w:rsidR="00591386">
        <w:rPr>
          <w:sz w:val="22"/>
          <w:lang w:val="en-US"/>
        </w:rPr>
        <w:t xml:space="preserve"> in NSSS detection</w:t>
      </w:r>
      <w:r>
        <w:rPr>
          <w:sz w:val="22"/>
          <w:lang w:val="en-US"/>
        </w:rPr>
        <w:t xml:space="preserve">. </w:t>
      </w:r>
    </w:p>
    <w:p w:rsidR="00EF6EED" w:rsidRDefault="0040645D" w:rsidP="0040645D">
      <w:pPr>
        <w:jc w:val="both"/>
        <w:rPr>
          <w:sz w:val="22"/>
          <w:lang w:val="en-US"/>
        </w:rPr>
      </w:pPr>
      <w:r>
        <w:rPr>
          <w:sz w:val="22"/>
          <w:lang w:val="en-US"/>
        </w:rPr>
        <w:t>When the SNR decreases, the loss of sensitivity due to the puncturing decreases too, to about 0.7 and 0.6dB respectively for NPSS and NSSS detection</w:t>
      </w:r>
      <w:r w:rsidR="00591386">
        <w:rPr>
          <w:sz w:val="22"/>
          <w:lang w:val="en-US"/>
        </w:rPr>
        <w:t xml:space="preserve">. In case of accumulation is employed this may lead to that about 15% more instances of signals need to be accumulated in order to achieve the same SINR in the accumulated signal for the in-band case as for the </w:t>
      </w:r>
      <w:r w:rsidR="00EF6EED">
        <w:rPr>
          <w:sz w:val="22"/>
          <w:lang w:val="en-US"/>
        </w:rPr>
        <w:t>stand-alone and guard-band cases.</w:t>
      </w:r>
    </w:p>
    <w:p w:rsidR="004911E1" w:rsidRDefault="00EF6EED" w:rsidP="0040645D">
      <w:pPr>
        <w:jc w:val="both"/>
        <w:rPr>
          <w:sz w:val="22"/>
          <w:lang w:val="en-US"/>
        </w:rPr>
      </w:pPr>
      <w:r>
        <w:rPr>
          <w:sz w:val="22"/>
          <w:lang w:val="en-US"/>
        </w:rPr>
        <w:t xml:space="preserve">Since cell detection in the in-band case clearly is more challenging than for the other deployment scenarios, we propose that RRM tests are carried out based on the </w:t>
      </w:r>
      <w:r w:rsidR="004911E1">
        <w:rPr>
          <w:sz w:val="22"/>
          <w:lang w:val="en-US"/>
        </w:rPr>
        <w:t>in-band scenario.</w:t>
      </w:r>
    </w:p>
    <w:p w:rsidR="0040645D" w:rsidRDefault="004911E1" w:rsidP="0040645D">
      <w:pPr>
        <w:jc w:val="both"/>
        <w:rPr>
          <w:sz w:val="22"/>
          <w:lang w:val="en-US"/>
        </w:rPr>
      </w:pPr>
      <w:r>
        <w:rPr>
          <w:b/>
          <w:sz w:val="22"/>
          <w:lang w:val="en-US"/>
        </w:rPr>
        <w:t>Proposal 1:</w:t>
      </w:r>
      <w:r>
        <w:rPr>
          <w:sz w:val="22"/>
          <w:lang w:val="en-US"/>
        </w:rPr>
        <w:t xml:space="preserve"> In order to narrow down the testing efforts it is proposed to base RRM tests on the in-band deployment scenario, since a UE passing the test for this scenario will pass the tests for stand-alone and guard-band scenarios too.</w:t>
      </w:r>
    </w:p>
    <w:p w:rsidR="00294649" w:rsidRDefault="00886185" w:rsidP="004911E1">
      <w:pPr>
        <w:pStyle w:val="Heading1"/>
        <w:rPr>
          <w:lang w:val="en-US"/>
        </w:rPr>
      </w:pPr>
      <w:r>
        <w:rPr>
          <w:lang w:val="en-US"/>
        </w:rPr>
        <w:lastRenderedPageBreak/>
        <w:t>Summary</w:t>
      </w:r>
      <w:bookmarkEnd w:id="0"/>
      <w:bookmarkEnd w:id="1"/>
    </w:p>
    <w:p w:rsidR="004911E1" w:rsidRDefault="004911E1" w:rsidP="004911E1">
      <w:pPr>
        <w:rPr>
          <w:sz w:val="22"/>
          <w:szCs w:val="22"/>
          <w:lang w:val="en-US"/>
        </w:rPr>
      </w:pPr>
      <w:r w:rsidRPr="004911E1">
        <w:rPr>
          <w:sz w:val="22"/>
          <w:szCs w:val="22"/>
          <w:lang w:val="en-US"/>
        </w:rPr>
        <w:t xml:space="preserve">In this </w:t>
      </w:r>
      <w:r>
        <w:rPr>
          <w:sz w:val="22"/>
          <w:szCs w:val="22"/>
          <w:lang w:val="en-US"/>
        </w:rPr>
        <w:t>contribution we have studied the impact of deployment scenario on the RRM measurements. Particularly it was found that it is cell detection that differs between the scenarios since when a NB-IoT cell is deployed in-band of an LTE cell, LTE CRS will puncture the NPSS and NSSS. The following observations were made:</w:t>
      </w:r>
    </w:p>
    <w:p w:rsidR="004911E1" w:rsidRDefault="004911E1" w:rsidP="004911E1">
      <w:pPr>
        <w:jc w:val="both"/>
        <w:rPr>
          <w:sz w:val="22"/>
          <w:lang w:val="en-US"/>
        </w:rPr>
      </w:pPr>
      <w:r>
        <w:rPr>
          <w:b/>
          <w:sz w:val="22"/>
          <w:lang w:val="en-US"/>
        </w:rPr>
        <w:t>Observation 1:</w:t>
      </w:r>
      <w:r>
        <w:rPr>
          <w:sz w:val="22"/>
          <w:lang w:val="en-US"/>
        </w:rPr>
        <w:t xml:space="preserve"> For in-band deployment the set of 121 REs carried by NPSS is punctured by up to 16 CRS, leading to a loss of sensitivity compared to stand-alone and guard-band deployments in NPSS detection. </w:t>
      </w:r>
    </w:p>
    <w:p w:rsidR="004911E1" w:rsidRDefault="004911E1" w:rsidP="004911E1">
      <w:pPr>
        <w:jc w:val="both"/>
        <w:rPr>
          <w:sz w:val="22"/>
          <w:lang w:val="en-US"/>
        </w:rPr>
      </w:pPr>
      <w:r>
        <w:rPr>
          <w:b/>
          <w:sz w:val="22"/>
          <w:lang w:val="en-US"/>
        </w:rPr>
        <w:t>Observation 2:</w:t>
      </w:r>
      <w:r>
        <w:rPr>
          <w:sz w:val="22"/>
          <w:lang w:val="en-US"/>
        </w:rPr>
        <w:t xml:space="preserve"> For in-band deployment the set of 132 REs carried by NSSS is punctured by up to 16 CRS, leading to a loss of sensitivity compared to stand-alone and guard-band deployments in NSSS detection. </w:t>
      </w:r>
    </w:p>
    <w:p w:rsidR="004911E1" w:rsidRDefault="004911E1" w:rsidP="004911E1">
      <w:pPr>
        <w:rPr>
          <w:sz w:val="22"/>
          <w:szCs w:val="22"/>
          <w:lang w:val="en-US"/>
        </w:rPr>
      </w:pPr>
      <w:r>
        <w:rPr>
          <w:sz w:val="22"/>
          <w:szCs w:val="22"/>
          <w:lang w:val="en-US"/>
        </w:rPr>
        <w:t>The loss of sensitivity leads to a more challenging task for the UE, which may involve accumulation of more instances of signals in the in-band case compared to the other two cases. Hence, in order to reduce the test scope, we propose the following:</w:t>
      </w:r>
    </w:p>
    <w:p w:rsidR="004911E1" w:rsidRDefault="004911E1" w:rsidP="004911E1">
      <w:pPr>
        <w:jc w:val="both"/>
        <w:rPr>
          <w:sz w:val="22"/>
          <w:lang w:val="en-US"/>
        </w:rPr>
      </w:pPr>
      <w:r>
        <w:rPr>
          <w:b/>
          <w:sz w:val="22"/>
          <w:lang w:val="en-US"/>
        </w:rPr>
        <w:t>Proposal 1:</w:t>
      </w:r>
      <w:r>
        <w:rPr>
          <w:sz w:val="22"/>
          <w:lang w:val="en-US"/>
        </w:rPr>
        <w:t xml:space="preserve"> In order to narrow down the testing efforts it is proposed to base RRM tests on the in-band deployment scenario, since a UE passing the test for this scenario will pass the tests for stand-alone and guard-band scenarios too.</w:t>
      </w:r>
    </w:p>
    <w:p w:rsidR="004911E1" w:rsidRPr="004911E1" w:rsidRDefault="004911E1" w:rsidP="004911E1">
      <w:pPr>
        <w:rPr>
          <w:sz w:val="22"/>
          <w:szCs w:val="22"/>
          <w:lang w:val="en-US"/>
        </w:rPr>
      </w:pPr>
      <w:bookmarkStart w:id="2" w:name="_GoBack"/>
      <w:bookmarkEnd w:id="2"/>
    </w:p>
    <w:p w:rsidR="006B4160" w:rsidRPr="004911E1" w:rsidRDefault="006B4160" w:rsidP="00294649">
      <w:pPr>
        <w:tabs>
          <w:tab w:val="left" w:pos="851"/>
        </w:tabs>
        <w:rPr>
          <w:rFonts w:ascii="Arial" w:hAnsi="Arial" w:cs="Arial"/>
          <w:sz w:val="22"/>
          <w:szCs w:val="22"/>
          <w:lang w:val="en-US"/>
        </w:rPr>
      </w:pPr>
    </w:p>
    <w:p w:rsidR="00294649" w:rsidRPr="004911E1" w:rsidRDefault="00294649" w:rsidP="00294649">
      <w:pPr>
        <w:tabs>
          <w:tab w:val="left" w:pos="851"/>
        </w:tabs>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p>
    <w:sectPr w:rsidR="00294649" w:rsidRPr="00261ADE"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D43" w:rsidRDefault="00F62D43">
      <w:r>
        <w:separator/>
      </w:r>
    </w:p>
  </w:endnote>
  <w:endnote w:type="continuationSeparator" w:id="0">
    <w:p w:rsidR="00F62D43" w:rsidRDefault="00F6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11E1">
      <w:rPr>
        <w:rStyle w:val="PageNumber"/>
        <w:noProof/>
      </w:rPr>
      <w:t>2</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D43" w:rsidRDefault="00F62D43">
      <w:r>
        <w:separator/>
      </w:r>
    </w:p>
  </w:footnote>
  <w:footnote w:type="continuationSeparator" w:id="0">
    <w:p w:rsidR="00F62D43" w:rsidRDefault="00F62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nsid w:val="79185E93"/>
    <w:multiLevelType w:val="hybridMultilevel"/>
    <w:tmpl w:val="F732F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8"/>
  </w:num>
  <w:num w:numId="4">
    <w:abstractNumId w:val="3"/>
  </w:num>
  <w:num w:numId="5">
    <w:abstractNumId w:val="4"/>
  </w:num>
  <w:num w:numId="6">
    <w:abstractNumId w:val="1"/>
  </w:num>
  <w:num w:numId="7">
    <w:abstractNumId w:val="0"/>
  </w:num>
  <w:num w:numId="8">
    <w:abstractNumId w:val="11"/>
  </w:num>
  <w:num w:numId="9">
    <w:abstractNumId w:val="5"/>
  </w:num>
  <w:num w:numId="10">
    <w:abstractNumId w:val="7"/>
  </w:num>
  <w:num w:numId="11">
    <w:abstractNumId w:val="2"/>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3CE"/>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DC6"/>
    <w:rsid w:val="001E3E93"/>
    <w:rsid w:val="001E3FA6"/>
    <w:rsid w:val="001E41F3"/>
    <w:rsid w:val="001E445B"/>
    <w:rsid w:val="001E4F4B"/>
    <w:rsid w:val="001E5056"/>
    <w:rsid w:val="001E63DD"/>
    <w:rsid w:val="001E6772"/>
    <w:rsid w:val="001E7814"/>
    <w:rsid w:val="001F1044"/>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5BA"/>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45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11E1"/>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720"/>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386"/>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0966"/>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34D"/>
    <w:rsid w:val="007F08F9"/>
    <w:rsid w:val="007F12C4"/>
    <w:rsid w:val="007F1FDD"/>
    <w:rsid w:val="007F220A"/>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0DC"/>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0B0"/>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4ED6"/>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019"/>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8E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6EED"/>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5F7"/>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0F5"/>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2D43"/>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E7799-F61E-4444-9D5B-6F7F195C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2016-06-21T16:27:00Z</dcterms:created>
  <dcterms:modified xsi:type="dcterms:W3CDTF">2016-06-21T18:56:00Z</dcterms:modified>
</cp:coreProperties>
</file>